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Peer Mentoring and Coaching</w:t>
      </w:r>
    </w:p>
    <w:p>
      <w:pPr>
        <w:spacing w:lineRule="auto"/>
      </w:pPr>
      <w:r>
        <w:rPr/>
      </w:r>
    </w:p>
    <w:p>
      <w:pPr>
        <w:spacing w:lineRule="auto"/>
      </w:pPr>
      <w:r>
        <w:rPr/>
        <w:drawing>
          <wp:inline distB="0" distL="0" distR="0" distT="0">
            <wp:extent cx="1905000" cy="952500"/>
            <wp:effectExtent b="0" l="0" r="0" t="0"/>
            <wp:docPr id="2" name="image-NrlnZM_MgCtpIAutnTrNQ.png"/>
            <a:graphic>
              <a:graphicData uri="http://schemas.openxmlformats.org/drawingml/2006/picture">
                <pic:pic>
                  <pic:nvPicPr>
                    <pic:cNvPr id="2" name="image-NrlnZM_MgCtpIAutnTrNQ.png" descr="This intervention is intended for adults and requires no additional cost."/>
                    <pic:cNvPicPr/>
                  </pic:nvPicPr>
                  <pic:blipFill>
                    <a:blip r:embed="rId7" cstate="print"/>
                    <a:srcRect b="0" l="0" r="0" t="0"/>
                    <a:stretch>
                      <a:fillRect/>
                    </a:stretch>
                  </pic:blipFill>
                  <pic:spPr>
                    <a:xfrm>
                      <a:off x="0" y="0"/>
                      <a:ext cx="1905000" cy="952500"/>
                    </a:xfrm>
                    <a:prstGeom prst="rect"/>
                  </pic:spPr>
                </pic:pic>
              </a:graphicData>
            </a:graphic>
          </wp:inline>
        </w:drawing>
      </w:r>
    </w:p>
    <w:p>
      <w:pPr>
        <w:spacing w:lineRule="auto"/>
      </w:pPr>
      <w:r>
        <w:rPr/>
      </w:r>
    </w:p>
    <w:p>
      <w:pPr>
        <w:pStyle w:val="Heading2"/>
        <w:spacing w:lineRule="auto"/>
      </w:pPr>
      <w:r>
        <w:rPr/>
        <w:t xml:space="preserve">Intervention Overview</w:t>
      </w:r>
    </w:p>
    <w:p>
      <w:pPr>
        <w:spacing w:lineRule="auto"/>
      </w:pPr>
      <w:r>
        <w:rPr/>
        <w:t xml:space="preserve">Often as educators we struggle to translate our best intentions into action. We may learn about wellbeing interventions at a conference, workshop, training, or in a resource like this book. We see the great potential an intervention has to bless individuals within our stewardship, and we resolve to do something. Unfortunately, when we return to our classroom or school, often our best intentions get swallowed up in the whirlwind of daily demands. At such times, we could all benefit from the consistent encouragement, support, and follow up of peer mentors or coaches. Lynn Barnes observes: “Quick fixes never last and teachers resent them; they resent going to inservices where someone is going to tell them what to do but not help them follow up. Teachers want someone that’s going to be there, that’s going to help them for the duration, not a fly-by-night program that’s here today gone tomorrow” (as cited in Jim Knight, 2007, p. 1).</w:t>
      </w:r>
    </w:p>
    <w:p>
      <w:pPr>
        <w:spacing w:lineRule="auto"/>
      </w:pPr>
      <w:r>
        <w:rPr/>
        <w:t xml:space="preserve">“Good coaching gets results—and it gets them fairly quickly.” Fortunately, because of its vast potential to support improvement, coaching has become increasingly common in most schools and districts. Unfortunately, “‘good coaching’ is not the reality for many coaches who operate in systems that are not organized to create, develop, and sustain the conditions for instructional improvement” (Fullan &amp; Knight, 2011, p. 50). Everyone in a school should be on the same page about the purposes, processes, and procedures of coaching. The table below provides some helpful distinctions about how schools should view coaching (adapted from Sweeney &amp; Mausbach, 2018, p. 19).</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Coaching Should Be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Coaching Shouldn’t Be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 two-way partnership based on equality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 one sided relationship based on power &amp; position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Focused on student &amp; adult learning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Focused on making teachers do things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Driven by teacher and team goals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Driven by administrator or coach goals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Flexible and responsive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Fixed and inflexible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Fun, interesting, helpful, motivating</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Irrelevant, boring, scary, demotivating</w:t>
            </w:r>
          </w:p>
        </w:tc>
      </w:tr>
    </w:tbl>
    <w:p>
      <w:pPr>
        <w:spacing w:lineRule="auto"/>
      </w:pPr>
      <w:r>
        <w:rPr/>
      </w:r>
    </w:p>
    <w:p>
      <w:pPr>
        <w:spacing w:lineRule="auto"/>
      </w:pPr>
      <w:r>
        <w:rPr/>
      </w:r>
    </w:p>
    <w:p>
      <w:pPr>
        <w:spacing w:lineRule="auto"/>
      </w:pPr>
      <w:r>
        <w:rPr/>
        <w:t xml:space="preserve">The coach’s roles should be collaboratively defined by the administrative team, coach, and instructional leadership team, answering questions like:</w:t>
      </w:r>
    </w:p>
    <w:p>
      <w:pPr>
        <w:numPr>
          <w:ilvl w:val="0"/>
          <w:numId w:val="1"/>
        </w:numPr>
        <w:spacing w:lineRule="auto"/>
      </w:pPr>
      <w:r>
        <w:rPr/>
        <w:t xml:space="preserve">What is the purpose of the coach?</w:t>
      </w:r>
    </w:p>
    <w:p>
      <w:pPr>
        <w:numPr>
          <w:ilvl w:val="0"/>
          <w:numId w:val="1"/>
        </w:numPr>
        <w:spacing w:lineRule="auto"/>
      </w:pPr>
      <w:r>
        <w:rPr/>
        <w:t xml:space="preserve">How should coaches spend their time?</w:t>
      </w:r>
    </w:p>
    <w:p>
      <w:pPr>
        <w:numPr>
          <w:ilvl w:val="0"/>
          <w:numId w:val="1"/>
        </w:numPr>
        <w:spacing w:lineRule="auto"/>
      </w:pPr>
      <w:r>
        <w:rPr/>
        <w:t xml:space="preserve">What activities are of the highest priority?</w:t>
      </w:r>
    </w:p>
    <w:p>
      <w:pPr>
        <w:numPr>
          <w:ilvl w:val="0"/>
          <w:numId w:val="1"/>
        </w:numPr>
        <w:spacing w:lineRule="auto"/>
      </w:pPr>
      <w:r>
        <w:rPr/>
        <w:t xml:space="preserve">Are there some activities that coaches should avoid?</w:t>
      </w:r>
    </w:p>
    <w:p>
      <w:pPr>
        <w:pStyle w:val="Heading2"/>
        <w:spacing w:lineRule="auto"/>
      </w:pPr>
      <w:r>
        <w:rPr/>
        <w:t xml:space="preserve">Intervention Guide</w:t>
      </w:r>
    </w:p>
    <w:p>
      <w:pPr>
        <w:spacing w:lineRule="auto"/>
      </w:pPr>
      <w:r>
        <w:rPr/>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Materials: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Boren (2022) created a few simple tools for teams seeking to prioritize and plan their coaching efforts. Adjust these forms as needed for your context.</w:t>
            </w:r>
          </w:p>
          <w:p>
            <w:pPr>
              <w:spacing w:lineRule="auto"/>
            </w:pPr>
            <w:r>
              <w:rPr/>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Duration: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30-60 Minutes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Implementation:</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Give each person a copy of the </w:t>
            </w:r>
            <w:hyperlink r:id="rId8">
              <w:r>
                <w:rPr>
                  <w:rStyle w:val="Hyperlink"/>
                </w:rPr>
                <w:t xml:space="preserve">“Coaching Priorities”</w:t>
              </w:r>
            </w:hyperlink>
            <w:r>
              <w:rPr/>
              <w:t xml:space="preserve"> form (hard copy or electronic copy) and have them fill it out individually. This can be done before the meeting or in the meeting itself.</w:t>
            </w:r>
          </w:p>
          <w:p>
            <w:pPr>
              <w:numPr>
                <w:ilvl w:val="0"/>
                <w:numId w:val="2"/>
              </w:numPr>
              <w:spacing w:lineRule="auto"/>
            </w:pPr>
            <w:r>
              <w:rPr/>
              <w:t xml:space="preserve">Collect the filled out forms and summarize the results.</w:t>
            </w:r>
          </w:p>
          <w:p>
            <w:pPr>
              <w:numPr>
                <w:ilvl w:val="0"/>
                <w:numId w:val="2"/>
              </w:numPr>
              <w:spacing w:lineRule="auto"/>
            </w:pPr>
            <w:r>
              <w:rPr/>
              <w:t xml:space="preserve">Talk about the results and come to some agreement. This is the most important step in the process. The goal of this collaborative conversation is to gain some collective clarity about the coach’s roles and priorities in supporting the wellbeing work at your school.</w:t>
            </w:r>
          </w:p>
          <w:p>
            <w:pPr>
              <w:numPr>
                <w:ilvl w:val="0"/>
                <w:numId w:val="2"/>
              </w:numPr>
              <w:spacing w:lineRule="auto"/>
            </w:pPr>
            <w:r>
              <w:rPr/>
              <w:t xml:space="preserve">Collaboratively complete the </w:t>
            </w:r>
            <w:hyperlink r:id="rId9">
              <w:r>
                <w:rPr>
                  <w:rStyle w:val="Hyperlink"/>
                </w:rPr>
                <w:t xml:space="preserve">“Coaching Plan”</w:t>
              </w:r>
            </w:hyperlink>
            <w:r>
              <w:rPr/>
              <w:t xml:space="preserve"> form together.</w:t>
            </w:r>
          </w:p>
          <w:p>
            <w:pPr>
              <w:numPr>
                <w:ilvl w:val="0"/>
                <w:numId w:val="2"/>
              </w:numPr>
              <w:spacing w:lineRule="auto"/>
            </w:pPr>
            <w:r>
              <w:rPr/>
              <w:t xml:space="preserve">Determine how the priorities and plan will be communicated with the entire faculty.</w:t>
            </w:r>
          </w:p>
          <w:p>
            <w:pPr>
              <w:numPr>
                <w:ilvl w:val="0"/>
                <w:numId w:val="2"/>
              </w:numPr>
              <w:spacing w:lineRule="auto"/>
            </w:pPr>
            <w:r>
              <w:rPr/>
              <w:t xml:space="preserve">Revisit as needed.</w:t>
            </w:r>
          </w:p>
        </w:tc>
      </w:tr>
    </w:tbl>
    <w:p>
      <w:pPr>
        <w:spacing w:lineRule="auto"/>
      </w:pPr>
      <w:r>
        <w:rPr/>
      </w:r>
    </w:p>
    <w:p>
      <w:pPr>
        <w:spacing w:lineRule="auto"/>
      </w:pPr>
      <w:r>
        <w:rPr/>
      </w:r>
    </w:p>
    <w:p>
      <w:pPr>
        <w:pStyle w:val="Heading3"/>
        <w:spacing w:lineRule="auto"/>
      </w:pPr>
      <w:r>
        <w:rPr/>
        <w:t xml:space="preserve">Does it work?</w:t>
      </w:r>
    </w:p>
    <w:p>
      <w:pPr>
        <w:spacing w:lineRule="auto"/>
      </w:pPr>
      <w:r>
        <w:rPr/>
        <w:t xml:space="preserve">Coaching and mentoring done well are absolute gifts. “Coaching facilitates learning that sticks” and helps translate learning from larger-scale PD days, conferences, and book studies into daily classroom practices that last” (Tschannen-Moran &amp; Tschannen-Moran, 2018, p. 3; Killion &amp; Harrison, 2006). Coaches are NOT program enforcers, people fixers, evaluators, or therapists. Coaches should be perceived as partners, peers and “critical friends, simultaneously providing support and empowering teachers to see areas where they can improve” and making it as “easy as possible for teachers to implement new practice” (Knight, 2007, p. 26, 32). Coaching and mentoring have often been limited to early career stages but can also be instrumental for experienced teachers and school leaders (Campbell et al., 2017 &amp; Feiman-Nemser, 2012). Experienced teachers who no longer have the formal supports through induction can benefit from peer coaching and informal mentoring. School principals and leaders, likewise, value professional and institutional structures and supports in the form of mentoring and coaching aimed at leadership development (Hobson and Sharp, 2005; Searby and Armstrong, 2016). Many schools find that coaches better facilitate individual capacity by also building the capacity of the system by coaching teachers and leadership teams. This allows the coach to work with more teachers, and sets up the systems of support teachers need for sustained improvement (Many et al., 2018; Fullan &amp; Knight, 2011). Indeed, “proponents of team coaching argue that coaching an individual without attempting to influence the immediate human systems in which they operate reduces the impact of the coaching intervention” (Clutterbuck, 2018, p. 280). Because coaches have traditionally focused on improving instruction for academic achievement, schools that decide to have the coach support wellbeing work must get crystal clear on the coach’s purpose and roles and communicate those to the entire faculty.</w:t>
      </w:r>
    </w:p>
    <w:p>
      <w:pPr>
        <w:pStyle w:val="Heading5"/>
        <w:spacing w:lineRule="auto"/>
      </w:pPr>
      <w:r>
        <w:rPr>
          <w:b/>
        </w:rPr>
        <w:t xml:space="preserve">References:</w:t>
      </w:r>
    </w:p>
    <w:p>
      <w:pPr>
        <w:spacing w:lineRule="auto"/>
      </w:pPr>
      <w:r>
        <w:rPr/>
        <w:t xml:space="preserve">Campbell, C., Osmond-Johnson, P., Faubert, B., Zeichner, K., Hobbs-Johnson, A., Brown, S., DaCosta, P., Hales, A., Kuehn, L., Sohn, J. and Stevensen, K. (2017). </w:t>
      </w:r>
      <w:r>
        <w:rPr/>
        <w:t xml:space="preserve">The state of educators’ professional learning in Canada: final research report</w:t>
      </w:r>
      <w:r>
        <w:rPr/>
        <w:t xml:space="preserve">. Learning Forward, Oxford, OH.</w:t>
      </w:r>
    </w:p>
    <w:p>
      <w:pPr>
        <w:spacing w:lineRule="auto"/>
      </w:pPr>
      <w:r>
        <w:rPr/>
        <w:t xml:space="preserve">Clutterbuck, D. (2018). Team coaching. In E. Cox, T. Bachkirova, &amp; D. Clutterbuck (Eds.), The complete handbook of coaching (pp. 279-294). Los Angeles, CA: Sage.</w:t>
      </w:r>
    </w:p>
    <w:p>
      <w:pPr>
        <w:spacing w:lineRule="auto"/>
      </w:pPr>
      <w:r>
        <w:rPr/>
        <w:t xml:space="preserve">Feiman-Nemser, S. (2012). Beyond solo teaching. </w:t>
      </w:r>
      <w:r>
        <w:rPr/>
        <w:t xml:space="preserve">Educational Leadership, 69</w:t>
      </w:r>
      <w:r>
        <w:rPr/>
        <w:t xml:space="preserve">(8), 10-16. </w:t>
      </w:r>
      <w:hyperlink r:id="rId10">
        <w:r>
          <w:rPr>
            <w:rStyle w:val="Hyperlink"/>
          </w:rPr>
          <w:t xml:space="preserve">https://eric.ed.gov/?id=EJ988726</w:t>
        </w:r>
      </w:hyperlink>
      <w:r>
        <w:rPr/>
        <w:t xml:space="preserve"> </w:t>
      </w:r>
    </w:p>
    <w:p>
      <w:pPr>
        <w:spacing w:lineRule="auto"/>
      </w:pPr>
      <w:r>
        <w:rPr/>
        <w:t xml:space="preserve">Fullan, M., &amp; Knight, J. (2011). Coaches as system leaders. Educational Leadership, 69(2), 50-53. </w:t>
      </w:r>
    </w:p>
    <w:p>
      <w:pPr>
        <w:spacing w:lineRule="auto"/>
      </w:pPr>
      <w:r>
        <w:rPr/>
        <w:t xml:space="preserve">Hobson, A.J. (2016). Judgementoring and how to avert it: Introducing ONSIDE Mentoring for beginning teachers. </w:t>
      </w:r>
      <w:r>
        <w:rPr/>
        <w:t xml:space="preserve">International Journal of Mentoring and Coaching in Education, 5</w:t>
      </w:r>
      <w:r>
        <w:rPr/>
        <w:t xml:space="preserve">(2), 87-110. </w:t>
      </w:r>
      <w:hyperlink r:id="rId11">
        <w:r>
          <w:rPr>
            <w:rStyle w:val="Hyperlink"/>
          </w:rPr>
          <w:t xml:space="preserve">https://doi.org/10.1108/IJMCE-03-2016-0024</w:t>
        </w:r>
      </w:hyperlink>
      <w:r>
        <w:rPr/>
        <w:t xml:space="preserve"> </w:t>
      </w:r>
    </w:p>
    <w:p>
      <w:pPr>
        <w:spacing w:lineRule="auto"/>
      </w:pPr>
      <w:r>
        <w:rPr/>
        <w:t xml:space="preserve">Hobson, A.J. and Sharp, C. (2005). Head to head: a systematic review of the research evidence on mentoring new head teachers. </w:t>
      </w:r>
      <w:r>
        <w:rPr/>
        <w:t xml:space="preserve">School Leadership &amp; Management, 25</w:t>
      </w:r>
      <w:r>
        <w:rPr/>
        <w:t xml:space="preserve">(1), 25-42. </w:t>
      </w:r>
      <w:hyperlink r:id="rId12">
        <w:r>
          <w:rPr>
            <w:rStyle w:val="Hyperlink"/>
          </w:rPr>
          <w:t xml:space="preserve">https://doi.org/10.1080/1363243052000317073</w:t>
        </w:r>
      </w:hyperlink>
      <w:r>
        <w:rPr/>
        <w:t xml:space="preserve">  </w:t>
      </w:r>
    </w:p>
    <w:p>
      <w:pPr>
        <w:spacing w:lineRule="auto"/>
      </w:pPr>
      <w:r>
        <w:rPr/>
        <w:t xml:space="preserve">Killion, J. &amp; Harrison, C. (2006). Taking the lead: New roles for coaches and teacher leaders. </w:t>
      </w:r>
    </w:p>
    <w:p>
      <w:pPr>
        <w:spacing w:lineRule="auto"/>
      </w:pPr>
      <w:r>
        <w:rPr/>
        <w:t xml:space="preserve">Knight, J. (2007). Instructional coaching: A partnership approach to improving instruction. Thousand Oaks, CA: Corwin Press.</w:t>
      </w:r>
    </w:p>
    <w:p>
      <w:pPr>
        <w:spacing w:lineRule="auto"/>
      </w:pPr>
      <w:r>
        <w:rPr/>
        <w:t xml:space="preserve">Many, T. W., Maffoni, M. J., Sparks, S. K., &amp; Thomas, T. F. (2018). Amplify your impact: Coaching collaborative teams in PLCS at Work. Bloomington, IN: Solution Tree.</w:t>
      </w:r>
    </w:p>
    <w:p>
      <w:pPr>
        <w:spacing w:lineRule="auto"/>
      </w:pPr>
      <w:r>
        <w:rPr/>
        <w:t xml:space="preserve">Searby, L.J. and Armstrong, D. (2016). Supporting the development and professional growth of middle space educational leaders through mentoring. </w:t>
      </w:r>
      <w:r>
        <w:rPr/>
        <w:t xml:space="preserve">International Journal of Mentoring and Coaching in Education, 5</w:t>
      </w:r>
      <w:r>
        <w:rPr/>
        <w:t xml:space="preserve">(3),162-169. </w:t>
      </w:r>
      <w:hyperlink r:id="rId13">
        <w:r>
          <w:rPr>
            <w:rStyle w:val="Hyperlink"/>
          </w:rPr>
          <w:t xml:space="preserve">https://doi.org/10.1108/IJMCE-06-2016-0054</w:t>
        </w:r>
      </w:hyperlink>
      <w:r>
        <w:rPr/>
        <w:t xml:space="preserve"> </w:t>
      </w:r>
    </w:p>
    <w:p>
      <w:pPr>
        <w:spacing w:lineRule="auto"/>
      </w:pPr>
      <w:r>
        <w:rPr/>
        <w:t xml:space="preserve">Sweeney, D., &amp; Mausbach, A. (2018). Leading student-centered coaching: building principal and coach partnerships. Thousand Oaks, CA: Corwin.</w:t>
      </w:r>
    </w:p>
    <w:p>
      <w:pPr>
        <w:spacing w:lineRule="auto"/>
      </w:pPr>
      <w:r>
        <w:rPr/>
        <w:t xml:space="preserve">Tschannen-Moran, M., &amp; Tschannen-Moran, B. (2018). Evoking greatness: Coaching to bring about the best in educational leaders. Thousand Oaks, CA: Corwin.</w:t>
      </w:r>
    </w:p>
    <w:p>
      <w:pPr>
        <w:spacing w:lineRule="auto"/>
      </w:pPr>
      <w:r>
        <w:rPr/>
      </w:r>
    </w:p>
    <w:p>
      <w:pPr>
        <w:spacing w:lineRule="auto"/>
      </w:pPr>
      <w:r>
        <w:rPr/>
      </w:r>
    </w:p>
    <w:p>
      <w:pPr>
        <w:spacing w:lineRule="auto"/>
      </w:pPr>
      <w:r>
        <w:rPr/>
      </w:r>
    </w:p>
    <w:p>
      <w:pPr>
        <w:spacing w:lineRule="auto"/>
      </w:pPr>
      <w:r>
        <w:rPr/>
        <w:t xml:space="preserve">Read this online at </w:t>
      </w:r>
      <w:hyperlink r:id="rId14">
        <w:r>
          <w:rPr>
            <w:rStyle w:val="Hyperlink"/>
          </w:rPr>
          <w:t xml:space="preserve">https://open.byu.edu/addressing_wellbeing/peer_mentoring_and_c</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fSFiVEJlNx3O9GIPOTnca.png" TargetMode="Internal"/>
  <Relationship Id="rId7" Type="http://schemas.openxmlformats.org/officeDocument/2006/relationships/image" Target="media/image-NrlnZM_MgCtpIAutnTrNQ.png" TargetMode="Internal"/>
  <Relationship Id="rId8" Type="http://schemas.openxmlformats.org/officeDocument/2006/relationships/hyperlink" Target="https://docs.google.com/document/d/1HOM4yharoiSfaHwflBUl4sNYICWtobJQ4mOR-ahWGxM/edit?usp=sharing" TargetMode="External"/>
  <Relationship Id="rId9" Type="http://schemas.openxmlformats.org/officeDocument/2006/relationships/hyperlink" Target="https://docs.google.com/document/d/1Tuf1sFiGCrFicjHif6L1dSIUTTGKB70KYzyPByze9X8/edit?usp=sharing" TargetMode="External"/>
  <Relationship Id="rId10" Type="http://schemas.openxmlformats.org/officeDocument/2006/relationships/hyperlink" Target="https://eric.ed.gov/?id=EJ988726" TargetMode="External"/>
  <Relationship Id="rId11" Type="http://schemas.openxmlformats.org/officeDocument/2006/relationships/hyperlink" Target="https://doi.org/10.1108/IJMCE-03-2016-0024" TargetMode="External"/>
  <Relationship Id="rId12" Type="http://schemas.openxmlformats.org/officeDocument/2006/relationships/hyperlink" Target="https://doi.org/10.1080/1363243052000317073" TargetMode="External"/>
  <Relationship Id="rId13" Type="http://schemas.openxmlformats.org/officeDocument/2006/relationships/hyperlink" Target="https://doi.org/10.1108/IJMCE-06-2016-0054" TargetMode="External"/>
  <Relationship Id="rId14" Type="http://schemas.openxmlformats.org/officeDocument/2006/relationships/hyperlink" Target="https://open.byu.edu/addressing_wellbeing/peer_mentoring_and_c" TargetMode="External"/>
  <Relationship Id="rId15"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