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Ionic Bonding</w:t>
      </w:r>
    </w:p>
    <w:p>
      <w:pPr>
        <w:spacing w:lineRule="auto"/>
      </w:pPr>
      <w:r>
        <w:rPr/>
      </w:r>
    </w:p>
    <w:p>
      <w:pPr>
        <w:pStyle w:val="Heading2"/>
        <w:spacing w:lineRule="auto"/>
      </w:pPr>
      <w:r>
        <w:rPr/>
        <w:t xml:space="preserve">Introduction to Ionic Solids and Ionic Bonding</w:t>
      </w:r>
    </w:p>
    <w:p>
      <w:pPr>
        <w:spacing w:lineRule="auto"/>
      </w:pPr>
      <w:r>
        <w:rPr/>
      </w:r>
    </w:p>
    <w:p>
      <w:pPr>
        <w:spacing w:lineRule="auto"/>
      </w:pPr>
      <w:r>
        <w:rPr/>
        <w:t xml:space="preserve">Not all materials form compounds as covalently bonded molecular units. While this is generally the case when the nonmetal elements bond with each other, the bonding between a metallic element and a nonmetallic element is typically quite different. When X-rays interact with the crystals of common sugar—a compound formed from the nonmetal elements of carbon, hydrogen, and oxygen—they reveal that table sugar is an ordered array of covalently bonded molecular units. This is in contrast to salt, which is a compound formed from the metallic element sodium and the nonmetal element chlorine. The same X-ray analysis shows that salt crystals are composed of an ordered array of positively charged sodium cations and negatively charged chloride anions. In compounds like salt, individual positively charged ions are surrounded by individual negatively charged ions such that the overall positive charge is the same as the overall negative charge in the material. It is the attraction of these oppositely charged ions that bonds or holds the material together in what is referred to as an ionic lattice. Bonding of this type is referred to as ionic bonding, and the energy associated with ionic bonding is referred to as the lattice energy. If the lattice energy has a positive sign, it describes the energy required to separate all of the cations and anions in the lattice from each other. If it has a negative sign, it describes the energy released as the cations and anions come together to form the ionic lattice structure.</w:t>
      </w:r>
    </w:p>
    <w:p>
      <w:pPr>
        <w:spacing w:lineRule="auto"/>
      </w:pPr>
      <w:r>
        <w:rPr/>
      </w:r>
    </w:p>
    <w:p>
      <w:pPr>
        <w:spacing w:lineRule="auto"/>
      </w:pPr>
      <w:hyperlink r:id="rId6">
        <w:r>
          <w:rPr>
            <w:rStyle w:val="Hyperlink"/>
          </w:rPr>
          <w:t xml:space="preserve"> Introduction Transcript </w:t>
        </w:r>
      </w:hyperlink>
    </w:p>
    <w:p>
      <w:pPr>
        <w:spacing w:lineRule="auto"/>
      </w:pPr>
      <w:r>
        <w:rPr/>
      </w:r>
    </w:p>
    <w:p>
      <w:pPr>
        <w:spacing w:lineRule="auto"/>
      </w:pPr>
      <w:hyperlink r:id="rId7">
        <w:r>
          <w:rPr>
            <w:rStyle w:val="Hyperlink"/>
          </w:rPr>
          <w:t xml:space="preserve"> Ionic Bonding Transcript </w:t>
        </w:r>
      </w:hyperlink>
    </w:p>
    <w:p>
      <w:pPr>
        <w:spacing w:lineRule="auto"/>
      </w:pPr>
      <w:r>
        <w:rPr/>
      </w:r>
    </w:p>
    <w:p>
      <w:pPr>
        <w:spacing w:lineRule="auto"/>
      </w:pPr>
      <w:hyperlink r:id="rId8">
        <w:r>
          <w:rPr>
            <w:rStyle w:val="Hyperlink"/>
          </w:rPr>
          <w:t xml:space="preserve"> Diffraction Patterns and Structures Transcript </w:t>
        </w:r>
      </w:hyperlink>
    </w:p>
    <w:p>
      <w:pPr>
        <w:spacing w:lineRule="auto"/>
      </w:pPr>
      <w:r>
        <w:rPr/>
      </w:r>
    </w:p>
    <w:p>
      <w:pPr>
        <w:pStyle w:val="Heading2"/>
        <w:spacing w:lineRule="auto"/>
      </w:pPr>
      <w:r>
        <w:rPr/>
        <w:t xml:space="preserve">Ionic Bonds</w:t>
      </w:r>
    </w:p>
    <w:p>
      <w:pPr>
        <w:spacing w:lineRule="auto"/>
      </w:pPr>
      <w:r>
        <w:rPr/>
        <w:t xml:space="preserve">In a covalent bond, an electron pair is shared between two nuclei. If those nuclei are the same, the shared pair is equally attracted to the positive charge of both nuclei, meaning that the electron pair between the two atoms is equally shared. However, if one nucleus has a greater effective nuclear positive charge (Zeff) than the other, the shared electron pair will be more strongly attracted to that nucleus. Since the electrons are shifted toward the more attractive nucleus and away from the less attractive nucleus, one end of the bond will have a slight negative charge, and the other end of the bond will have a slight positive charge. This results in what is referred to as a polar bond—polar as in North and South Poles, to indicate opposites. As the difference in the effective nuclear charges on the two bonding atoms becomes greater, the bond between the atoms becomes more polar, meaning that the negative charge on the more attractive atom and the positive charge on the less attractive atom each become greater. Eventually, if the difference is large enough, the bonding electrons are essentially captured by the electronegative atom and released from its bonding partner, resulting in two ions: a negatively charged anion and a positively charged cation. The resulting two oppositely charged ions are strongly attracted to each other, which is the basis of the ionic bond between them. Consequently, an ionic bond may be considered the most extreme polar bond case.</w:t>
      </w:r>
    </w:p>
    <w:p>
      <w:pPr>
        <w:spacing w:lineRule="auto"/>
      </w:pPr>
      <w:r>
        <w:rPr/>
        <w:t xml:space="preserve">The relative ability of an element to attract a bonding electron pair is typically expressed as its electronegativity. The electronegative values of the nonmetal elements are typically much higher than those associated with metal elements because nonmetal elements have the most protons for their size. As a result, the nonmetals have a significantly higher effective nuclear charge, or Zeff, than metals. This means any bond between a nonmetal and a metal is so polar that it is best characterized as an ionic bond. In general, bonds between a nonmetal and a metal are ionic in nature, whereas bonds formed between nonmetals and nonmetals are covalent or polar covalent in nature.</w:t>
      </w:r>
    </w:p>
    <w:p>
      <w:pPr>
        <w:spacing w:lineRule="auto"/>
      </w:pPr>
      <w:r>
        <w:rPr/>
      </w:r>
    </w:p>
    <w:p>
      <w:pPr>
        <w:spacing w:lineRule="auto"/>
      </w:pPr>
      <w:hyperlink r:id="rId9">
        <w:r>
          <w:rPr>
            <w:rStyle w:val="Hyperlink"/>
          </w:rPr>
          <w:t xml:space="preserve"> Ionic Bonds as Extremely Polar Covalent Bonds Transcript </w:t>
        </w:r>
      </w:hyperlink>
    </w:p>
    <w:p>
      <w:pPr>
        <w:spacing w:lineRule="auto"/>
      </w:pPr>
      <w:r>
        <w:rPr/>
      </w:r>
    </w:p>
    <w:p>
      <w:pPr>
        <w:spacing w:lineRule="auto"/>
      </w:pPr>
      <w:hyperlink r:id="rId10">
        <w:r>
          <w:rPr>
            <w:rStyle w:val="Hyperlink"/>
          </w:rPr>
          <w:t xml:space="preserve"> Predicting Ionic Bond Character Transcript </w:t>
        </w:r>
      </w:hyperlink>
    </w:p>
    <w:p>
      <w:pPr>
        <w:pStyle w:val="Heading3"/>
        <w:spacing w:lineRule="auto"/>
      </w:pPr>
      <w:r>
        <w:rPr/>
        <w:t xml:space="preserve">Ionic Bonds Practice</w:t>
      </w:r>
    </w:p>
    <w:p>
      <w:pPr>
        <w:spacing w:lineRule="auto"/>
      </w:pPr>
      <w:r>
        <w:rPr/>
        <w:br w:type="textWrapping"/>
      </w:r>
    </w:p>
    <w:p>
      <w:pPr>
        <w:spacing w:lineRule="auto"/>
      </w:pPr>
      <w:r>
        <w:rPr/>
        <w:br w:type="textWrapping"/>
      </w:r>
    </w:p>
    <w:p>
      <w:pPr>
        <w:spacing w:lineRule="auto"/>
      </w:pPr>
      <w:r>
        <w:rPr/>
        <w:br w:type="textWrapping"/>
      </w:r>
    </w:p>
    <w:p>
      <w:pPr>
        <w:pStyle w:val="Heading2"/>
        <w:spacing w:lineRule="auto"/>
      </w:pPr>
      <w:r>
        <w:rPr/>
        <w:t xml:space="preserve">Ion Charge and Chemical Formulas of Ionic Compounds</w:t>
      </w:r>
    </w:p>
    <w:p>
      <w:pPr>
        <w:spacing w:lineRule="auto"/>
      </w:pPr>
      <w:r>
        <w:rPr/>
        <w:t xml:space="preserve">Ionic bonding occurs in compounds containing a metal and a nonmetal. The less electronegative metal element forms the cation, and the more electronegative nonmetal element forms the anion. The lattice energies associated with ionic-bonded materials, like all charge–charge interactions, depend on the amount of charge and how close the charges are to each other. This means that the higher the lattice energy associated with the ionic bonds in a compound, the stronger the interactions are between the cations and anions in the lattice. Because more charge means a higher lattice energy and a lower-energy, stronger bond, metal cations and the nonmetal anions often have charges greater than \(+1\) or \(-1\).</w:t>
      </w:r>
    </w:p>
    <w:p>
      <w:pPr>
        <w:spacing w:lineRule="auto"/>
      </w:pPr>
      <w:r>
        <w:rPr/>
        <w:t xml:space="preserve">When the main group metal elements participate in ionic bonds, they form cations with the loss of all of their valence electrons. For example, the group I alkali metals—Li, Na, K, Rb, and Cs—have one valence electron and form the \(+1\) cations \(\text{Li}^+\), \(\text{Na}^+\), \(\text{K}^+\), \(\text{Rb}^+\), and \(\text{Cs}^+\). Likewise, the group II alkaline earth elements—Be, Mg, Ca, Sr, and Ba—which each have two valence electrons, all form \(+2\) ions.</w:t>
      </w:r>
    </w:p>
    <w:p>
      <w:pPr>
        <w:spacing w:lineRule="auto"/>
      </w:pPr>
      <w:r>
        <w:rPr/>
        <w:t xml:space="preserve">The negative charge associated with anions formed from the main group nonmetal elements is the same as the number of electrons required to completely fill the element’s valence shell. For example, fluorine and the other halogen elements form anions with a \(-1\) charge because it takes one additional electron, combined with their seven valence electrons, to fill the shell. Likewise, oxygen and sulfur form anions with a charge of \(-2\), nitrogen and phosphorus form anions with a charge of \(-3\), and carbon forms an anion with a charge of \(-4\). </w:t>
      </w:r>
      <w:r>
        <w:rPr/>
        <w:br w:type="textWrapping"/>
      </w:r>
    </w:p>
    <w:p>
      <w:pPr>
        <w:spacing w:lineRule="auto"/>
      </w:pPr>
      <w:r>
        <w:rPr/>
        <w:t xml:space="preserve">The chemical formulas of main group ionic compounds are set by the charges on the cations and anions such that the total charge of the cations in the compound is the same as the total charge of the anions in the compound. For example, because sodium forms a \(+1\) cation and chlorine forms a \(-1\) anion, the formula for the compound that forms between sodium and chlorine is \(\text{NaCl}\).</w:t>
      </w:r>
    </w:p>
    <w:p>
      <w:pPr>
        <w:spacing w:lineRule="auto"/>
      </w:pPr>
      <w:r>
        <w:rPr/>
        <w:t xml:space="preserve">Likewise, the group II metal magnesium forms a \(+2\) cation (\(\text{Mg}^{2+}\)) and the nonmetal element oxygen forms an anion with a \(-2\) charge (\(\text{O}^{2-}\)). Consequently, the chemical formula of the ionic compound that forms between magnesium and oxygen is \(\text{MgO}\).</w:t>
      </w:r>
      <w:r>
        <w:rPr/>
        <w:br w:type="textWrapping"/>
      </w:r>
    </w:p>
    <w:p>
      <w:pPr>
        <w:spacing w:lineRule="auto"/>
      </w:pPr>
      <w:r>
        <w:rPr/>
        <w:t xml:space="preserve">Similarly, aluminum forms the \(\text{Al}^{3+}\) cation and oxygen the \(\text{O}^{2-}\) anion. The formula for the compound that forms between aluminum and oxygen is the combination of \(+3\) charges and \(-2\) charges that result in an overall charge of zero: \(\text{Al}_2\text{O}_3\).</w:t>
      </w:r>
      <w:r>
        <w:rPr/>
        <w:br w:type="textWrapping"/>
      </w:r>
    </w:p>
    <w:p>
      <w:pPr>
        <w:spacing w:lineRule="auto"/>
      </w:pPr>
      <w:r>
        <w:rPr/>
        <w:t xml:space="preserve">The transition metals also form ionic compounds with the nonmetals. However, many of these elements form cations with different charges. The element iron, for example, typically forms cations with one of two possible charges: \(+2\) or \(+3\). Because there are multiple cation possibilities in these elements, the charge on these cations is determined from the chemical formula. For example, the charge on iron in the compound \(\text{FeCl}_3\) is \(+3\), in the compound \(\text{Fe}_2\text{O}_3\) the charge is also \(+3\), and the charge on copper in \(\text{CuSO}_4\) is \(+2\) since the charge on the polyatomic sulfate anion, \(\text{SO}_4^{2-}\), is \(-2\).</w:t>
      </w:r>
    </w:p>
    <w:p>
      <w:pPr>
        <w:spacing w:lineRule="auto"/>
      </w:pPr>
      <w:r>
        <w:rPr/>
      </w:r>
    </w:p>
    <w:p>
      <w:pPr>
        <w:spacing w:lineRule="auto"/>
      </w:pPr>
      <w:hyperlink r:id="rId11">
        <w:r>
          <w:rPr>
            <w:rStyle w:val="Hyperlink"/>
          </w:rPr>
          <w:t xml:space="preserve"> Predicting Formulas of Main Group Ionic Compounds I Transcript </w:t>
        </w:r>
      </w:hyperlink>
    </w:p>
    <w:p>
      <w:pPr>
        <w:spacing w:lineRule="auto"/>
      </w:pPr>
      <w:r>
        <w:rPr/>
      </w:r>
    </w:p>
    <w:p>
      <w:pPr>
        <w:spacing w:lineRule="auto"/>
      </w:pPr>
      <w:hyperlink r:id="rId12">
        <w:r>
          <w:rPr>
            <w:rStyle w:val="Hyperlink"/>
          </w:rPr>
          <w:t xml:space="preserve"> Predicting Formulas of the Main Group Ionic Compounds II Transcript </w:t>
        </w:r>
      </w:hyperlink>
    </w:p>
    <w:p>
      <w:pPr>
        <w:spacing w:lineRule="auto"/>
      </w:pPr>
      <w:r>
        <w:rPr/>
      </w:r>
    </w:p>
    <w:p>
      <w:pPr>
        <w:spacing w:lineRule="auto"/>
      </w:pPr>
      <w:hyperlink r:id="rId13">
        <w:r>
          <w:rPr>
            <w:rStyle w:val="Hyperlink"/>
          </w:rPr>
          <w:t xml:space="preserve">Predicting Formulas of Other Ionic Compounds Transcript</w:t>
        </w:r>
      </w:hyperlink>
    </w:p>
    <w:p>
      <w:pPr>
        <w:spacing w:lineRule="auto"/>
      </w:pPr>
      <w:r>
        <w:rPr/>
      </w:r>
    </w:p>
    <w:p>
      <w:pPr>
        <w:spacing w:lineRule="auto"/>
      </w:pPr>
      <w:r>
        <w:rPr/>
      </w:r>
    </w:p>
    <w:p>
      <w:pPr>
        <w:spacing w:lineRule="auto"/>
      </w:pPr>
      <w:hyperlink r:id="rId14">
        <w:r>
          <w:rPr>
            <w:rStyle w:val="Hyperlink"/>
          </w:rPr>
          <w:t xml:space="preserve">Predicting Ion Charges in Ionic Compounds Transcript</w:t>
        </w:r>
      </w:hyperlink>
    </w:p>
    <w:p>
      <w:pPr>
        <w:pStyle w:val="Heading3"/>
        <w:spacing w:lineRule="auto"/>
      </w:pPr>
      <w:r>
        <w:rPr/>
        <w:t xml:space="preserve">Review Questions</w:t>
      </w:r>
    </w:p>
    <w:p>
      <w:pPr>
        <w:spacing w:lineRule="auto"/>
      </w:pPr>
      <w:r>
        <w:rPr/>
        <w:br w:type="textWrapping"/>
      </w:r>
    </w:p>
    <w:p>
      <w:pPr>
        <w:spacing w:lineRule="auto"/>
      </w:pPr>
      <w:r>
        <w:rPr/>
      </w:r>
    </w:p>
    <w:p>
      <w:pPr>
        <w:pStyle w:val="Heading2"/>
        <w:spacing w:lineRule="auto"/>
      </w:pPr>
      <w:r>
        <w:rPr/>
        <w:t xml:space="preserve">Naming Ionic Compounds</w:t>
      </w:r>
    </w:p>
    <w:p>
      <w:pPr>
        <w:spacing w:lineRule="auto"/>
      </w:pPr>
      <w:r>
        <w:rPr/>
      </w:r>
    </w:p>
    <w:p>
      <w:pPr>
        <w:spacing w:lineRule="auto"/>
      </w:pPr>
      <w:r>
        <w:rPr/>
        <w:t xml:space="preserve">Ionic compounds composed of a main group element and a nonmetal are named by simply giving the elemental name of the metal, followed by the name of the nonmetal modified with the </w:t>
      </w:r>
      <w:r>
        <w:rPr>
          <w:b/>
        </w:rPr>
        <w:t xml:space="preserve">–ide</w:t>
      </w:r>
      <w:r>
        <w:rPr/>
        <w:t xml:space="preserve"> suffix, in the same way as the more electronegative element is modified when naming covalent compounds. In this regard, ionic compounds are named similarly to covalent compounds.</w:t>
      </w:r>
    </w:p>
    <w:p>
      <w:pPr>
        <w:spacing w:lineRule="auto"/>
      </w:pPr>
      <w:r>
        <w:rPr/>
        <w:t xml:space="preserve">However, because the charges on the ions are determined and set by their valence electron configuration, the prefixes </w:t>
      </w:r>
      <w:r>
        <w:rPr>
          <w:b/>
        </w:rPr>
        <w:t xml:space="preserve">mono-</w:t>
      </w:r>
      <w:r>
        <w:rPr/>
        <w:t xml:space="preserve">, </w:t>
      </w:r>
      <w:r>
        <w:rPr>
          <w:b/>
        </w:rPr>
        <w:t xml:space="preserve">di-</w:t>
      </w:r>
      <w:r>
        <w:rPr/>
        <w:t xml:space="preserve">, </w:t>
      </w:r>
      <w:r>
        <w:rPr>
          <w:b/>
        </w:rPr>
        <w:t xml:space="preserve">tri-</w:t>
      </w:r>
      <w:r>
        <w:rPr/>
        <w:t xml:space="preserve">, and so forth are not used because the number of each type of ion can be determined from the charges on the ions.</w:t>
      </w:r>
    </w:p>
    <w:p>
      <w:pPr>
        <w:spacing w:lineRule="auto"/>
      </w:pPr>
      <w:r>
        <w:rPr/>
      </w:r>
    </w:p>
    <w:p>
      <w:pPr>
        <w:spacing w:lineRule="auto"/>
      </w:pPr>
      <w:r>
        <w:rPr/>
        <w:t xml:space="preserve">The name for \(\text{MgO}\) is just </w:t>
      </w:r>
      <w:r>
        <w:rPr>
          <w:b/>
        </w:rPr>
        <w:t xml:space="preserve">magnesium oxide</w:t>
      </w:r>
      <w:r>
        <w:rPr/>
        <w:t xml:space="preserve">; for \(\text{MgCl}_2\), </w:t>
      </w:r>
      <w:r>
        <w:rPr>
          <w:b/>
        </w:rPr>
        <w:t xml:space="preserve">magnesium chloride</w:t>
      </w:r>
      <w:r>
        <w:rPr/>
        <w:t xml:space="preserve">; for \(\text{Al}_2\text{O}_3\), </w:t>
      </w:r>
      <w:r>
        <w:rPr>
          <w:b/>
        </w:rPr>
        <w:t xml:space="preserve">aluminum oxide</w:t>
      </w:r>
      <w:r>
        <w:rPr/>
        <w:t xml:space="preserve">; and for \(\text{AlCl}_3\), </w:t>
      </w:r>
      <w:r>
        <w:rPr>
          <w:b/>
        </w:rPr>
        <w:t xml:space="preserve">aluminum chloride</w:t>
      </w:r>
      <w:r>
        <w:rPr/>
        <w:t xml:space="preserve">.</w:t>
      </w:r>
    </w:p>
    <w:p>
      <w:pPr>
        <w:spacing w:lineRule="auto"/>
      </w:pPr>
      <w:r>
        <w:rPr/>
        <w:t xml:space="preserve">The ionic compounds formed between transition metal elements and the nonmetal elements are named similarly to the compounds between main group elements and nonmetals, with the exception that the charge on the metal cation needs to be given because there is more than one possibility.</w:t>
      </w:r>
    </w:p>
    <w:p>
      <w:pPr>
        <w:spacing w:lineRule="auto"/>
      </w:pPr>
      <w:r>
        <w:rPr/>
      </w:r>
    </w:p>
    <w:p>
      <w:pPr>
        <w:spacing w:lineRule="auto"/>
      </w:pPr>
      <w:r>
        <w:rPr/>
      </w:r>
    </w:p>
    <w:p>
      <w:pPr>
        <w:spacing w:lineRule="auto"/>
      </w:pPr>
      <w:r>
        <w:rPr/>
        <w:t xml:space="preserve"> The charge on the cation is shown in parentheses as a Roman numeral following the elemental name of the metal. For example,</w:t>
      </w:r>
    </w:p>
    <w:p>
      <w:pPr>
        <w:spacing w:lineRule="auto"/>
      </w:pPr>
      <w:r>
        <w:rPr/>
        <w:t xml:space="preserve">\(\text{FeCl}_3\)is named </w:t>
      </w:r>
      <w:r>
        <w:rPr>
          <w:b/>
        </w:rPr>
        <w:t xml:space="preserve">iron(III) chloride</w:t>
      </w:r>
      <w:r>
        <w:rPr>
          <w:b/>
        </w:rPr>
        <w:t xml:space="preserve">,</w:t>
      </w:r>
    </w:p>
    <w:p>
      <w:pPr>
        <w:spacing w:lineRule="auto"/>
      </w:pPr>
      <w:r>
        <w:rPr/>
        <w:t xml:space="preserve">\(\text{FeCl}_2\) is </w:t>
      </w:r>
      <w:r>
        <w:rPr>
          <w:b/>
        </w:rPr>
        <w:t xml:space="preserve">iron(II) chloride</w:t>
      </w:r>
      <w:r>
        <w:rPr/>
        <w:t xml:space="preserve">,</w:t>
      </w:r>
    </w:p>
    <w:p>
      <w:pPr>
        <w:spacing w:lineRule="auto"/>
      </w:pPr>
      <w:r>
        <w:rPr/>
        <w:t xml:space="preserve">\(\text{CuCl}_2\) is </w:t>
      </w:r>
      <w:r>
        <w:rPr>
          <w:b/>
        </w:rPr>
        <w:t xml:space="preserve">copper(II) chloride</w:t>
      </w:r>
      <w:r>
        <w:rPr/>
        <w:t xml:space="preserve">, and </w:t>
      </w:r>
    </w:p>
    <w:p>
      <w:pPr>
        <w:spacing w:lineRule="auto"/>
      </w:pPr>
      <w:r>
        <w:rPr/>
        <w:t xml:space="preserve">\(\text{CuCl}\) is </w:t>
      </w:r>
      <w:r>
        <w:rPr>
          <w:b/>
        </w:rPr>
        <w:t xml:space="preserve">copper(I) chloride</w:t>
      </w:r>
      <w:r>
        <w:rPr/>
        <w:t xml:space="preserve">. </w:t>
      </w:r>
    </w:p>
    <w:p>
      <w:pPr>
        <w:spacing w:lineRule="auto"/>
      </w:pPr>
      <w:r>
        <w:rPr/>
      </w:r>
    </w:p>
    <w:p>
      <w:pPr>
        <w:spacing w:lineRule="auto"/>
      </w:pPr>
      <w:r>
        <w:rPr/>
      </w:r>
    </w:p>
    <w:p>
      <w:pPr>
        <w:spacing w:lineRule="auto"/>
      </w:pPr>
      <w:hyperlink r:id="rId15">
        <w:r>
          <w:rPr>
            <w:rStyle w:val="Hyperlink"/>
          </w:rPr>
          <w:t xml:space="preserve"> Naming Ionic Compounds Transcript </w:t>
        </w:r>
      </w:hyperlink>
    </w:p>
    <w:p>
      <w:pPr>
        <w:spacing w:lineRule="auto"/>
      </w:pPr>
      <w:r>
        <w:rPr/>
      </w:r>
    </w:p>
    <w:p>
      <w:pPr>
        <w:pStyle w:val="Heading3"/>
        <w:spacing w:lineRule="auto"/>
      </w:pPr>
      <w:r>
        <w:rPr/>
        <w:t xml:space="preserve">  Fundamental Knowledge and Skills—Nomenclature Strategy </w:t>
      </w:r>
      <w:r>
        <w:rPr/>
        <w:br w:type="textWrapping"/>
      </w:r>
    </w:p>
    <w:p>
      <w:pPr>
        <w:spacing w:lineRule="auto"/>
      </w:pPr>
      <w:r>
        <w:rPr/>
      </w:r>
    </w:p>
    <w:p>
      <w:pPr>
        <w:pStyle w:val="Heading4"/>
        <w:spacing w:lineRule="auto"/>
      </w:pPr>
      <w:r>
        <w:rPr/>
      </w:r>
    </w:p>
    <w:p>
      <w:pPr>
        <w:pStyle w:val="Heading4"/>
        <w:spacing w:lineRule="auto"/>
      </w:pPr>
      <w:r>
        <w:rPr/>
      </w:r>
    </w:p>
    <w:p>
      <w:pPr>
        <w:spacing w:lineRule="auto"/>
      </w:pPr>
      <w:r>
        <w:rPr/>
        <w:t xml:space="preserve">Nomenclature Strategy Visual Description</w:t>
      </w:r>
    </w:p>
    <w:p>
      <w:pPr>
        <w:spacing w:lineRule="auto"/>
      </w:pPr>
      <w:r>
        <w:rPr/>
      </w:r>
    </w:p>
    <w:p>
      <w:pPr>
        <w:spacing w:lineRule="auto"/>
      </w:pPr>
      <w:r>
        <w:rPr/>
        <w:t xml:space="preserve">The flowchart outlines naming rules for chemical compounds. It splits compounds into covalent (use Greek prefixes or acid naming rules) and ionic (use rules for polyatomic ions or binary compounds). Ionic compounds are further divided into those with metals of fixed or variable oxidation states.</w:t>
      </w:r>
    </w:p>
    <w:p>
      <w:pPr>
        <w:pStyle w:val="Heading4"/>
        <w:spacing w:lineRule="auto"/>
      </w:pPr>
      <w:r>
        <w:rPr/>
        <w:t xml:space="preserve">What You Need to Know:</w:t>
      </w:r>
    </w:p>
    <w:p>
      <w:pPr>
        <w:spacing w:lineRule="auto"/>
      </w:pPr>
      <w:r>
        <w:rPr/>
        <w:t xml:space="preserve">You need to know how to name ionic compounds, including ionic compounds composed of polyatomic ions. You should also be able to determine the components present in an ionic salt from its name.</w:t>
      </w:r>
    </w:p>
    <w:p>
      <w:pPr>
        <w:pStyle w:val="Heading4"/>
        <w:spacing w:lineRule="auto"/>
      </w:pPr>
      <w:r>
        <w:rPr/>
        <w:t xml:space="preserve">How to Learn It:</w:t>
      </w:r>
    </w:p>
    <w:p>
      <w:pPr>
        <w:spacing w:lineRule="auto"/>
      </w:pPr>
      <w:r>
        <w:rPr/>
        <w:t xml:space="preserve">Naming ionic compounds is relatively easy. Ionic compounds have two words. The first word is the name of the cation, the positively charged ion. The second word is the name of the anion, the negatively charged ion. The second word always ends in the suffix -ide, indicating that it is an anion and carries a negative charge. You are provided a list of the names, charges, and formulas of polyatomic ions.</w:t>
      </w:r>
    </w:p>
    <w:p>
      <w:pPr>
        <w:spacing w:lineRule="auto"/>
      </w:pPr>
      <w:r>
        <w:rPr/>
        <w:t xml:space="preserve">Transition metals have multiple oxidation states, meaning that multiple cations can be formed from one metal. In order to differentiate between different oxidation states, we will use Roman numerals to indicate the charge on the metal.</w:t>
      </w:r>
    </w:p>
    <w:p>
      <w:pPr>
        <w:spacing w:lineRule="auto"/>
      </w:pPr>
      <w:r>
        <w:rPr/>
      </w:r>
    </w:p>
    <w:p>
      <w:pPr>
        <w:spacing w:lineRule="auto"/>
      </w:pPr>
      <w:r>
        <w:rPr/>
        <w:t xml:space="preserve">Let’s look at a few examples:</w:t>
      </w:r>
    </w:p>
    <w:p>
      <w:pPr>
        <w:spacing w:lineRule="auto"/>
      </w:pPr>
      <w:r>
        <w:rPr/>
        <w:t xml:space="preserve">\(\text{NaI}\) = sodium iodide</w:t>
      </w:r>
    </w:p>
    <w:p>
      <w:pPr>
        <w:spacing w:lineRule="auto"/>
      </w:pPr>
      <w:r>
        <w:rPr/>
        <w:t xml:space="preserve">\(\text{KCl}\) = potassium chloride</w:t>
      </w:r>
    </w:p>
    <w:p>
      <w:pPr>
        <w:spacing w:lineRule="auto"/>
      </w:pPr>
      <w:r>
        <w:rPr/>
        <w:t xml:space="preserve">\(\text{NaCN}\) = sodium cyanide (\(\text{CN}^-\) is a polyatomic anion)</w:t>
      </w:r>
    </w:p>
    <w:p>
      <w:pPr>
        <w:spacing w:lineRule="auto"/>
      </w:pPr>
      <w:r>
        <w:rPr/>
        <w:t xml:space="preserve">\(\text{NH}_4\text{CH}_3\text{CO}_2\) = ammonium acetate (\(\text{NH}_4^+\) is a polyatomic cation, and \(\text{CH}_3\text{COO}^-\) is a polyatomic anion)</w:t>
      </w:r>
    </w:p>
    <w:p>
      <w:pPr>
        <w:spacing w:lineRule="auto"/>
      </w:pPr>
      <w:r>
        <w:rPr/>
        <w:t xml:space="preserve">\(\text{Ca(OH)}_2\) = calcium hydroxide</w:t>
      </w:r>
    </w:p>
    <w:p>
      <w:pPr>
        <w:spacing w:lineRule="auto"/>
      </w:pPr>
      <w:r>
        <w:rPr/>
        <w:t xml:space="preserve">\(\text{FeCl}_3\) = iron(III) chloride</w:t>
      </w:r>
    </w:p>
    <w:p>
      <w:pPr>
        <w:spacing w:lineRule="auto"/>
      </w:pPr>
      <w:r>
        <w:rPr/>
        <w:t xml:space="preserve">\(\text{FeCl}_2\) = iron(II) chloride</w:t>
      </w:r>
    </w:p>
    <w:p>
      <w:pPr>
        <w:spacing w:lineRule="auto"/>
      </w:pPr>
      <w:r>
        <w:rPr/>
        <w:t xml:space="preserve">\(\text{CuSCN}\) = copper(I) thiocyanate</w:t>
      </w:r>
    </w:p>
    <w:p>
      <w:pPr>
        <w:spacing w:lineRule="auto"/>
      </w:pPr>
      <w:r>
        <w:rPr/>
        <w:t xml:space="preserve">Note that the quantity of ions present is</w:t>
      </w:r>
      <w:r>
        <w:rPr>
          <w:b/>
        </w:rPr>
        <w:t xml:space="preserve">not</w:t>
      </w:r>
      <w:r>
        <w:rPr/>
        <w:t xml:space="preserve">reflected in the name. Instead, the quantity of ions present must be inferred from the</w:t>
      </w:r>
      <w:r>
        <w:rPr>
          <w:b/>
        </w:rPr>
        <w:t xml:space="preserve">charges</w:t>
      </w:r>
      <w:r>
        <w:rPr/>
        <w:t xml:space="preserve">of the ions.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Symbols and Names of Some Common Polyatomic Ions and One Molecule </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ammonium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2</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chlorite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3</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hydroxide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perchlorate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hydronium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3</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phosphite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COO</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cyanide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w:t>
            </w:r>
          </w:p>
          <w:p>
            <w:pPr>
              <w:spacing w:lineRule="auto"/>
            </w:pPr>
            <w:r>
              <w:rPr>
                <w:vertAlign w:val="subscript"/>
              </w:rPr>
              <w:t xml:space="preserve">4</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phosphate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oxalate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SCN</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thiocyanate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thiosulfate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CrO</w:t>
            </w:r>
          </w:p>
          <w:p>
            <w:pPr>
              <w:spacing w:lineRule="auto"/>
            </w:pPr>
            <w:r>
              <w:rPr>
                <w:vertAlign w:val="subscript"/>
              </w:rPr>
              <w:t xml:space="preserve">4</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chromate 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3</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MnO</w:t>
            </w:r>
          </w:p>
          <w:p>
            <w:pPr>
              <w:spacing w:lineRule="auto"/>
            </w:pPr>
            <w:r>
              <w:rPr>
                <w:vertAlign w:val="subscript"/>
              </w:rPr>
              <w:t xml:space="preserve">4</w:t>
            </w:r>
          </w:p>
          <w:p>
            <w:pPr>
              <w:spacing w:lineRule="auto"/>
            </w:pPr>
            <w:r>
              <w:rPr>
                <w:vertAlign w:val="superscript"/>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permanganate 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w:t>
            </w:r>
          </w:p>
          <w:p>
            <w:pPr>
              <w:spacing w:lineRule="auto"/>
            </w:pPr>
            <w:r>
              <w:rPr>
                <w:vertAlign w:val="subscript"/>
              </w:rPr>
              <w:t xml:space="preserve">2</w:t>
            </w:r>
          </w:p>
          <w:p>
            <w:pPr>
              <w:spacing w:lineRule="auto"/>
            </w:pPr>
            <w:r>
              <w:rPr/>
              <w:t xml:space="preserve">O</w:t>
            </w:r>
          </w:p>
          <w:p>
            <w:pPr>
              <w:spacing w:lineRule="auto"/>
            </w:pPr>
            <w:r>
              <w:rPr>
                <w:vertAlign w:val="subscript"/>
              </w:rPr>
              <w:t xml:space="preserve">7</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dichromate ion</w:t>
            </w:r>
          </w:p>
        </w:tc>
      </w:tr>
    </w:tbl>
    <w:p>
      <w:pPr>
        <w:spacing w:lineRule="auto"/>
      </w:pPr>
      <w:r>
        <w:rPr/>
      </w:r>
    </w:p>
    <w:p>
      <w:pPr>
        <w:spacing w:lineRule="auto"/>
      </w:pPr>
      <w:r>
        <w:rPr/>
      </w:r>
    </w:p>
    <w:p>
      <w:pPr>
        <w:spacing w:lineRule="auto"/>
      </w:pPr>
      <w:r>
        <w:rPr/>
      </w:r>
    </w:p>
    <w:p>
      <w:pPr>
        <w:pStyle w:val="Heading4"/>
        <w:spacing w:lineRule="auto"/>
      </w:pPr>
      <w:r>
        <w:rPr/>
        <w:t xml:space="preserve">Why It Matters:</w:t>
      </w:r>
    </w:p>
    <w:p>
      <w:pPr>
        <w:spacing w:lineRule="auto"/>
      </w:pPr>
      <w:r>
        <w:rPr/>
        <w:t xml:space="preserve">Ionic salts are all around you! Table salt is merely sodium chloride (NaCl). Ionic salts are also used as preservatives, like sodium nitrite, which is found in lunch meat, as a preservative.</w:t>
      </w:r>
    </w:p>
    <w:p>
      <w:pPr>
        <w:spacing w:lineRule="auto"/>
      </w:pPr>
      <w:r>
        <w:rPr/>
      </w:r>
    </w:p>
    <w:p>
      <w:pPr>
        <w:spacing w:lineRule="auto"/>
      </w:pPr>
      <w:r>
        <w:rPr/>
      </w:r>
    </w:p>
    <w:p>
      <w:pPr>
        <w:spacing w:lineRule="auto"/>
      </w:pPr>
      <w:r>
        <w:rPr/>
      </w:r>
    </w:p>
    <w:p>
      <w:pPr>
        <w:pStyle w:val="Heading3"/>
        <w:spacing w:lineRule="auto"/>
      </w:pPr>
      <w:r>
        <w:rPr/>
        <w:t xml:space="preserve">Name the Following Ionic Compounds</w:t>
      </w:r>
    </w:p>
    <w:p>
      <w:pPr>
        <w:spacing w:lineRule="auto"/>
      </w:pPr>
      <w:r>
        <w:rPr/>
        <w:br w:type="textWrapping"/>
      </w:r>
    </w:p>
    <w:p>
      <w:pPr>
        <w:spacing w:lineRule="auto"/>
      </w:pPr>
      <w:r>
        <w:rPr/>
        <w:t xml:space="preserve">Image Credit</w:t>
      </w:r>
    </w:p>
    <w:p>
      <w:pPr>
        <w:numPr>
          <w:ilvl w:val="0"/>
          <w:numId w:val="1"/>
        </w:numPr>
        <w:spacing w:lineRule="auto"/>
      </w:pPr>
      <w:r>
        <w:rPr/>
      </w:r>
      <w:r>
        <w:rPr/>
      </w:r>
    </w:p>
    <w:p>
      <w:pPr>
        <w:numPr>
          <w:ilvl w:val="0"/>
          <w:numId w:val="1"/>
        </w:numPr>
        <w:spacing w:lineRule="auto"/>
      </w:pPr>
      <w:r>
        <w:rPr/>
      </w:r>
    </w:p>
    <w:p>
      <w:pPr>
        <w:numPr>
          <w:ilvl w:val="0"/>
          <w:numId w:val="1"/>
        </w:numPr>
        <w:spacing w:lineRule="auto"/>
      </w:pPr>
      <w:r>
        <w:rPr/>
      </w:r>
      <w:r>
        <w:rPr/>
      </w:r>
    </w:p>
    <w:p>
      <w:pPr>
        <w:numPr>
          <w:ilvl w:val="0"/>
          <w:numId w:val="1"/>
        </w:numPr>
        <w:spacing w:lineRule="auto"/>
      </w:pPr>
      <w:r>
        <w:rPr/>
        <w:t xml:space="preserve">Unknown, </w:t>
      </w:r>
      <w:r>
        <w:rPr/>
        <w:t xml:space="preserve">Ionic Bonding</w:t>
      </w:r>
      <w:r>
        <w:rPr/>
        <w:t xml:space="preserve">, Unknown</w:t>
      </w:r>
    </w:p>
    <w:p>
      <w:pPr>
        <w:numPr>
          <w:ilvl w:val="0"/>
          <w:numId w:val="1"/>
        </w:numPr>
        <w:spacing w:lineRule="auto"/>
      </w:pPr>
      <w:r>
        <w:rPr/>
        <w:t xml:space="preserve">Unknown, </w:t>
      </w:r>
      <w:r>
        <w:rPr/>
        <w:t xml:space="preserve">Baking Soda</w:t>
      </w:r>
      <w:r>
        <w:rPr/>
        <w:t xml:space="preserve">, Unknown</w:t>
      </w:r>
    </w:p>
    <w:p>
      <w:pPr>
        <w:numPr>
          <w:ilvl w:val="0"/>
          <w:numId w:val="1"/>
        </w:numPr>
        <w:spacing w:lineRule="auto"/>
      </w:pPr>
      <w:r>
        <w:rPr/>
        <w:t xml:space="preserve">Unknown, </w:t>
      </w:r>
      <w:r>
        <w:rPr/>
        <w:t xml:space="preserve">William Henry Bragg</w:t>
      </w:r>
      <w:r>
        <w:rPr/>
        <w:t xml:space="preserve">, Wikipedia (public domain).</w:t>
      </w:r>
    </w:p>
    <w:p>
      <w:pPr>
        <w:numPr>
          <w:ilvl w:val="0"/>
          <w:numId w:val="1"/>
        </w:numPr>
        <w:spacing w:lineRule="auto"/>
      </w:pPr>
      <w:r>
        <w:rPr/>
        <w:t xml:space="preserve">Nobel foundation, </w:t>
      </w:r>
      <w:r>
        <w:rPr/>
        <w:t xml:space="preserve">Lawrence Bragg</w:t>
      </w:r>
      <w:r>
        <w:rPr/>
        <w:t xml:space="preserve">, 1915, Wikipedia (public domain).</w:t>
      </w:r>
    </w:p>
    <w:p>
      <w:pPr>
        <w:numPr>
          <w:ilvl w:val="0"/>
          <w:numId w:val="1"/>
        </w:numPr>
        <w:spacing w:lineRule="auto"/>
      </w:pPr>
      <w:r>
        <w:rPr/>
      </w:r>
      <w:r>
        <w:rPr/>
      </w:r>
    </w:p>
    <w:p>
      <w:pPr>
        <w:numPr>
          <w:ilvl w:val="0"/>
          <w:numId w:val="1"/>
        </w:numPr>
        <w:spacing w:lineRule="auto"/>
      </w:pPr>
      <w:r>
        <w:rPr/>
      </w:r>
      <w:r>
        <w:rPr/>
      </w:r>
    </w:p>
    <w:p>
      <w:pPr>
        <w:numPr>
          <w:ilvl w:val="0"/>
          <w:numId w:val="1"/>
        </w:numPr>
        <w:spacing w:lineRule="auto"/>
      </w:pPr>
      <w:r>
        <w:rPr/>
      </w:r>
      <w:r>
        <w:rPr/>
      </w:r>
      <w:r>
        <w:rPr/>
      </w:r>
      <w:r>
        <w:rPr/>
      </w:r>
    </w:p>
    <w:p>
      <w:pPr>
        <w:numPr>
          <w:ilvl w:val="0"/>
          <w:numId w:val="1"/>
        </w:numPr>
        <w:spacing w:lineRule="auto"/>
      </w:pPr>
      <w:r>
        <w:rPr/>
      </w:r>
      <w:r>
        <w:rPr/>
      </w:r>
    </w:p>
    <w:p>
      <w:pPr>
        <w:numPr>
          <w:ilvl w:val="0"/>
          <w:numId w:val="1"/>
        </w:numPr>
        <w:spacing w:lineRule="auto"/>
      </w:pPr>
      <w:r>
        <w:rPr/>
      </w: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16">
        <w:r>
          <w:rPr>
            <w:rStyle w:val="Hyperlink"/>
          </w:rPr>
          <w:t xml:space="preserve">https://open.byu.edu/chem_101/nbxrhrjtmb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q0jxzxiugsd76tysl9a2r2fpqc7tssx" TargetMode="External"/>
  <Relationship Id="rId7" Type="http://schemas.openxmlformats.org/officeDocument/2006/relationships/hyperlink" Target="https://byu.box.com/s/fft3rnhpo044nfkbu1ej80hz94007kw6" TargetMode="External"/>
  <Relationship Id="rId8" Type="http://schemas.openxmlformats.org/officeDocument/2006/relationships/hyperlink" Target="https://byu.box.com/s/bzh1ri3axd55bkkcnukd2jhn3bt8c596" TargetMode="External"/>
  <Relationship Id="rId9" Type="http://schemas.openxmlformats.org/officeDocument/2006/relationships/hyperlink" Target="https://byu.box.com/s/fu2je0u31696j3pomz44dvz2i4fyi1md" TargetMode="External"/>
  <Relationship Id="rId10" Type="http://schemas.openxmlformats.org/officeDocument/2006/relationships/hyperlink" Target="https://byu.box.com/s/isi0pcq68gis5gfgq92jfku0ip3avl51" TargetMode="External"/>
  <Relationship Id="rId11" Type="http://schemas.openxmlformats.org/officeDocument/2006/relationships/hyperlink" Target="https://byu.box.com/s/qqi8vbyq5gsjmc9lirocuqsb42el2f57" TargetMode="External"/>
  <Relationship Id="rId12" Type="http://schemas.openxmlformats.org/officeDocument/2006/relationships/hyperlink" Target="https://byu.box.com/s/c6vmxi7hd5oefp1dg53mpoe7slgc4e6i" TargetMode="External"/>
  <Relationship Id="rId13" Type="http://schemas.openxmlformats.org/officeDocument/2006/relationships/hyperlink" Target="https://byu.box.com/s/c8xctgagz2melx16h1j7b2bhw12r0x11" TargetMode="External"/>
  <Relationship Id="rId14" Type="http://schemas.openxmlformats.org/officeDocument/2006/relationships/hyperlink" Target="https://byu.box.com/s/m5iy2w0pa5usbhhmzmbycvs7n17w835k" TargetMode="External"/>
  <Relationship Id="rId15" Type="http://schemas.openxmlformats.org/officeDocument/2006/relationships/hyperlink" Target="https://byu.box.com/s/owtl7ccuig38n73y67sgy7475des7oec" TargetMode="External"/>
  <Relationship Id="rId16" Type="http://schemas.openxmlformats.org/officeDocument/2006/relationships/hyperlink" Target="https://open.byu.edu/chem_101/nbxrhrjtmb"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